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D" w:rsidRDefault="003C043D"/>
    <w:p w:rsidR="00107C4E" w:rsidRDefault="00107C4E"/>
    <w:p w:rsidR="00107C4E" w:rsidRPr="00107C4E" w:rsidRDefault="00107C4E" w:rsidP="0010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PERSONEL BİLGİ FORMU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87"/>
        <w:gridCol w:w="4395"/>
        <w:gridCol w:w="2835"/>
      </w:tblGrid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107C4E" w:rsidRPr="00107C4E" w:rsidTr="00107C4E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B7BFA">
              <w:rPr>
                <w:rFonts w:ascii="Calibri" w:eastAsia="Times New Roman" w:hAnsi="Calibri" w:cs="Times New Roman"/>
                <w:color w:val="000000"/>
                <w:lang w:eastAsia="tr-TR"/>
              </w:rPr>
              <w:t>ALİ FUAT TEKELİ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DC7D40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99900" cy="1710047"/>
                  <wp:effectExtent l="0" t="0" r="0" b="0"/>
                  <wp:docPr id="1" name="Resim 1" descr="http://tarsustb.tobb.org.tr/Portals/58/Meclis/genel_sekreterlik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rsustb.tobb.org.tr/Portals/58/Meclis/genel_sekreterlik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37" cy="1710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B7BFA">
              <w:rPr>
                <w:rFonts w:ascii="Calibri" w:eastAsia="Times New Roman" w:hAnsi="Calibri" w:cs="Times New Roman"/>
                <w:color w:val="000000"/>
                <w:lang w:eastAsia="tr-TR"/>
              </w:rPr>
              <w:t>TAHSİLAT MEMURU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B7BFA">
              <w:rPr>
                <w:rFonts w:ascii="Calibri" w:eastAsia="Times New Roman" w:hAnsi="Calibri" w:cs="Times New Roman"/>
                <w:color w:val="000000"/>
                <w:lang w:eastAsia="tr-TR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B7BFA">
              <w:rPr>
                <w:rFonts w:ascii="Calibri" w:eastAsia="Times New Roman" w:hAnsi="Calibri" w:cs="Times New Roman"/>
                <w:color w:val="000000"/>
                <w:lang w:eastAsia="tr-TR"/>
              </w:rPr>
              <w:t>TAHSİLAT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B7BFA">
              <w:rPr>
                <w:rFonts w:ascii="Calibri" w:eastAsia="Times New Roman" w:hAnsi="Calibri" w:cs="Times New Roman"/>
                <w:color w:val="000000"/>
                <w:lang w:eastAsia="tr-TR"/>
              </w:rPr>
              <w:t>532 5238568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8B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F64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B7BFA">
              <w:rPr>
                <w:rFonts w:ascii="Calibri" w:eastAsia="Times New Roman" w:hAnsi="Calibri" w:cs="Times New Roman"/>
                <w:color w:val="000000"/>
                <w:lang w:eastAsia="tr-TR"/>
              </w:rPr>
              <w:t>16.03.1960 /</w:t>
            </w:r>
            <w:proofErr w:type="spellStart"/>
            <w:r w:rsidR="008B7BFA">
              <w:rPr>
                <w:rFonts w:ascii="Calibri" w:eastAsia="Times New Roman" w:hAnsi="Calibri" w:cs="Times New Roman"/>
                <w:color w:val="000000"/>
                <w:lang w:eastAsia="tr-TR"/>
              </w:rPr>
              <w:t>tarsus</w:t>
            </w:r>
            <w:proofErr w:type="spellEnd"/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Lise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B7BFA">
              <w:rPr>
                <w:rFonts w:ascii="Calibri" w:eastAsia="Times New Roman" w:hAnsi="Calibri" w:cs="Times New Roman"/>
                <w:color w:val="000000"/>
                <w:lang w:eastAsia="tr-TR"/>
              </w:rPr>
              <w:t>KASIM EKENLER ORTA OKULU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027C" w:rsidRDefault="00107C4E" w:rsidP="0037027C">
            <w:pPr>
              <w:pStyle w:val="Balk1"/>
            </w:pPr>
            <w:r w:rsidRPr="00107C4E">
              <w:rPr>
                <w:rFonts w:ascii="Calibri" w:hAnsi="Calibri"/>
                <w:color w:val="000000"/>
              </w:rPr>
              <w:t> </w:t>
            </w:r>
            <w:r w:rsidR="0037027C">
              <w:t>BU POZİSYONDA ÇALIŞANIN GÖREV, YETKİ VE SORUMLULUKLARI</w:t>
            </w:r>
          </w:p>
          <w:p w:rsidR="0037027C" w:rsidRPr="00E961B1" w:rsidRDefault="0037027C" w:rsidP="0037027C"/>
          <w:p w:rsidR="0037027C" w:rsidRPr="0056635E" w:rsidRDefault="0037027C" w:rsidP="0037027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Tarsus ilçesi ve kazalarında bulunan üyelerimizin yerinde tescil işlemlerini yapmak,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Yerinde yapılan tescil ücretini tahsil etmek,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Üye dosyasının doğruluk tespitini yapmak ve tespit raporu hazırlamak,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Üyelere yıllık aidat ödeme aylarını ve ödeme tutarlarını bildirmek,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Aidat tutarlarını tahsil etmek,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Borsamız için gerekli temizlik malzemelerini, kırtasiye, ilgili ikramlıklarını, çay ocağı stok </w:t>
            </w:r>
            <w:r>
              <w:rPr>
                <w:b/>
              </w:rPr>
              <w:lastRenderedPageBreak/>
              <w:t xml:space="preserve">eksiklerini temin etmek, 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Borsaya kayıt ve aidat ücretini tanzim etmek veya muhasebe servisine yönlendirmek,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Borsa binasının tüm tesisatlarının bakım ve onarım işlerini yapmak,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Borsanın organlarını oluşturanların, Genel Sekreterin, memurlarının büro içi hizmetlerine amirlerinin gerekli gördüğü hallerde yardım etmek,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Gereken toplantılara katılıp fotoğraf ve kamera çekimlerini yapmak,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Stopajların ilgili banka ve vergi dairesi hesaplarına yatırılmasını sağlamak,</w:t>
            </w:r>
          </w:p>
          <w:p w:rsidR="0037027C" w:rsidRDefault="0037027C" w:rsidP="0037027C">
            <w:pPr>
              <w:ind w:left="426"/>
              <w:rPr>
                <w:b/>
              </w:rPr>
            </w:pPr>
          </w:p>
          <w:p w:rsidR="0037027C" w:rsidRPr="00912448" w:rsidRDefault="0037027C" w:rsidP="0037027C">
            <w:pPr>
              <w:ind w:left="1213"/>
              <w:jc w:val="both"/>
              <w:rPr>
                <w:smallCaps/>
              </w:rPr>
            </w:pPr>
            <w:r w:rsidRPr="00912448">
              <w:rPr>
                <w:smallCaps/>
              </w:rPr>
              <w:t xml:space="preserve">BORSA TAŞITLARININ KULLANILMASI İLE İLGİLİ OLARAK 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Yönetim Kurulu Başkanı ve Genel Sekreterin talimatları doğrultusunda hareket etmek,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Kullanacağı aracın bakım onarım ve yakıt ihtiyaçlarını bildirmek ve verilecek sözlü talimatlar sonucu yerine getirmek,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Kullanılacak olan aracın temiz olması için yıkama ve iç temizlik işlemlerini sözlü olarak bilgi vermek ve verilecek talimata göre yerine getirmek,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Trafik kurallarına uymak ve aracı kullanırken dikkatini dağıtacak niteliklerden kaçınmak. (Sigara içmek, Telefonla uzun </w:t>
            </w: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sohbet etmek, yolda gördüğü bir tanıdığına korna veya selektör gibi araç cihazları ve el kol hareketleri ile selam verme v.b.)</w:t>
            </w:r>
          </w:p>
          <w:p w:rsidR="0037027C" w:rsidRDefault="0037027C" w:rsidP="0037027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Olabilecek bir kaza anında gereken müdahaleleri yapmak, (İlkyardım ambulans ve polis çağırmak vb.)</w:t>
            </w:r>
          </w:p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07C4E" w:rsidRDefault="00107C4E"/>
    <w:sectPr w:rsidR="00107C4E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4CDA"/>
    <w:multiLevelType w:val="hybridMultilevel"/>
    <w:tmpl w:val="197E6C3C"/>
    <w:lvl w:ilvl="0" w:tplc="CC3466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07C4E"/>
    <w:rsid w:val="00107C4E"/>
    <w:rsid w:val="0032476D"/>
    <w:rsid w:val="0037027C"/>
    <w:rsid w:val="003C043D"/>
    <w:rsid w:val="004219A8"/>
    <w:rsid w:val="0079587C"/>
    <w:rsid w:val="008B7BFA"/>
    <w:rsid w:val="00DC7D40"/>
    <w:rsid w:val="00F37834"/>
    <w:rsid w:val="00F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</w:style>
  <w:style w:type="paragraph" w:styleId="Balk1">
    <w:name w:val="heading 1"/>
    <w:basedOn w:val="Normal"/>
    <w:next w:val="Normal"/>
    <w:link w:val="Balk1Char"/>
    <w:qFormat/>
    <w:rsid w:val="00370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027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2</cp:revision>
  <dcterms:created xsi:type="dcterms:W3CDTF">2016-04-14T14:15:00Z</dcterms:created>
  <dcterms:modified xsi:type="dcterms:W3CDTF">2016-04-14T14:15:00Z</dcterms:modified>
</cp:coreProperties>
</file>